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B9A" w:rsidRDefault="00397B9A" w:rsidP="00397B9A">
      <w:pPr>
        <w:pStyle w:val="Titel"/>
        <w:rPr>
          <w:rFonts w:eastAsia="Times New Roman"/>
          <w:lang w:val="da-DK" w:eastAsia="da-DK"/>
        </w:rPr>
      </w:pPr>
      <w:r>
        <w:rPr>
          <w:rFonts w:eastAsia="Times New Roman"/>
          <w:lang w:val="da-DK" w:eastAsia="da-DK"/>
        </w:rPr>
        <w:t xml:space="preserve">11. </w:t>
      </w:r>
    </w:p>
    <w:p w:rsidR="00397B9A" w:rsidRPr="00397B9A" w:rsidRDefault="00397B9A" w:rsidP="00397B9A">
      <w:pPr>
        <w:pStyle w:val="Titel"/>
        <w:rPr>
          <w:rFonts w:eastAsia="Times New Roman"/>
          <w:sz w:val="48"/>
          <w:szCs w:val="48"/>
          <w:lang w:val="da-DK" w:eastAsia="da-DK"/>
        </w:rPr>
      </w:pPr>
      <w:r w:rsidRPr="00397B9A">
        <w:rPr>
          <w:rFonts w:eastAsia="Times New Roman"/>
          <w:sz w:val="48"/>
          <w:szCs w:val="48"/>
          <w:lang w:val="da-DK" w:eastAsia="da-DK"/>
        </w:rPr>
        <w:t>Beregning af Æ10-belastning og Æ10-faktorer</w:t>
      </w:r>
    </w:p>
    <w:p w:rsidR="00397B9A" w:rsidRPr="00397B9A" w:rsidRDefault="00397B9A" w:rsidP="00397B9A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da-DK" w:eastAsia="da-DK"/>
        </w:rPr>
      </w:pPr>
      <w:r w:rsidRPr="00397B9A">
        <w:rPr>
          <w:rFonts w:ascii="Times New Roman" w:eastAsia="Times New Roman" w:hAnsi="Times New Roman" w:cs="Times New Roman"/>
          <w:sz w:val="24"/>
          <w:szCs w:val="24"/>
          <w:lang w:val="da-DK" w:eastAsia="da-DK"/>
        </w:rPr>
        <w:t>Dimensionering af vejbefæstelser og broer samt planlægning af vejvedligeholdelse kræver bl.a. kendskab til de belastninger, som trafikken udsætter vejene for. De metoder, der anvendes ved d</w:t>
      </w:r>
      <w:r w:rsidRPr="00397B9A">
        <w:rPr>
          <w:rFonts w:ascii="Times New Roman" w:eastAsia="Times New Roman" w:hAnsi="Times New Roman" w:cs="Times New Roman"/>
          <w:sz w:val="24"/>
          <w:szCs w:val="24"/>
          <w:lang w:val="da-DK" w:eastAsia="da-DK"/>
        </w:rPr>
        <w:t>i</w:t>
      </w:r>
      <w:r w:rsidRPr="00397B9A">
        <w:rPr>
          <w:rFonts w:ascii="Times New Roman" w:eastAsia="Times New Roman" w:hAnsi="Times New Roman" w:cs="Times New Roman"/>
          <w:sz w:val="24"/>
          <w:szCs w:val="24"/>
          <w:lang w:val="da-DK" w:eastAsia="da-DK"/>
        </w:rPr>
        <w:t>mensionering, forudsætter en standardiseret beskrivelse af belastningen. Derfor skal de registrerede akseltryk omsættes til et standardiseret udtryk: Den ækvivalente 10 ton aksel. Belastningerne fra de enkelte køretøjer omregnes til antal ækvivalente 10 ton akseltryk, som benævnes Æ10. Det defin</w:t>
      </w:r>
      <w:r w:rsidRPr="00397B9A">
        <w:rPr>
          <w:rFonts w:ascii="Times New Roman" w:eastAsia="Times New Roman" w:hAnsi="Times New Roman" w:cs="Times New Roman"/>
          <w:sz w:val="24"/>
          <w:szCs w:val="24"/>
          <w:lang w:val="da-DK" w:eastAsia="da-DK"/>
        </w:rPr>
        <w:t>e</w:t>
      </w:r>
      <w:r w:rsidRPr="00397B9A">
        <w:rPr>
          <w:rFonts w:ascii="Times New Roman" w:eastAsia="Times New Roman" w:hAnsi="Times New Roman" w:cs="Times New Roman"/>
          <w:sz w:val="24"/>
          <w:szCs w:val="24"/>
          <w:lang w:val="da-DK" w:eastAsia="da-DK"/>
        </w:rPr>
        <w:t>res som det antal 10 ton aksler, der giver samme påvirkning (udmattelse og nedbrydning) på en ve</w:t>
      </w:r>
      <w:r w:rsidRPr="00397B9A">
        <w:rPr>
          <w:rFonts w:ascii="Times New Roman" w:eastAsia="Times New Roman" w:hAnsi="Times New Roman" w:cs="Times New Roman"/>
          <w:sz w:val="24"/>
          <w:szCs w:val="24"/>
          <w:lang w:val="da-DK" w:eastAsia="da-DK"/>
        </w:rPr>
        <w:t>j</w:t>
      </w:r>
      <w:r w:rsidRPr="00397B9A">
        <w:rPr>
          <w:rFonts w:ascii="Times New Roman" w:eastAsia="Times New Roman" w:hAnsi="Times New Roman" w:cs="Times New Roman"/>
          <w:sz w:val="24"/>
          <w:szCs w:val="24"/>
          <w:lang w:val="da-DK" w:eastAsia="da-DK"/>
        </w:rPr>
        <w:t>befæstelse, som alle de i en given periode faktisk forekommende akseltryk. Empiriske analyser v</w:t>
      </w:r>
      <w:r w:rsidRPr="00397B9A">
        <w:rPr>
          <w:rFonts w:ascii="Times New Roman" w:eastAsia="Times New Roman" w:hAnsi="Times New Roman" w:cs="Times New Roman"/>
          <w:sz w:val="24"/>
          <w:szCs w:val="24"/>
          <w:lang w:val="da-DK" w:eastAsia="da-DK"/>
        </w:rPr>
        <w:t>i</w:t>
      </w:r>
      <w:r w:rsidRPr="00397B9A">
        <w:rPr>
          <w:rFonts w:ascii="Times New Roman" w:eastAsia="Times New Roman" w:hAnsi="Times New Roman" w:cs="Times New Roman"/>
          <w:sz w:val="24"/>
          <w:szCs w:val="24"/>
          <w:lang w:val="da-DK" w:eastAsia="da-DK"/>
        </w:rPr>
        <w:t>ser, at Æ10-belastningen kan beregnes, som det aktuelle akseltryk divideret med 10 ton og opløftet til 4. potens. Et akseltryk på 1 ton vil således resultere i en Æ10-belastning på 0,0001 og et akse</w:t>
      </w:r>
      <w:r w:rsidRPr="00397B9A">
        <w:rPr>
          <w:rFonts w:ascii="Times New Roman" w:eastAsia="Times New Roman" w:hAnsi="Times New Roman" w:cs="Times New Roman"/>
          <w:sz w:val="24"/>
          <w:szCs w:val="24"/>
          <w:lang w:val="da-DK" w:eastAsia="da-DK"/>
        </w:rPr>
        <w:t>l</w:t>
      </w:r>
      <w:r w:rsidRPr="00397B9A">
        <w:rPr>
          <w:rFonts w:ascii="Times New Roman" w:eastAsia="Times New Roman" w:hAnsi="Times New Roman" w:cs="Times New Roman"/>
          <w:sz w:val="24"/>
          <w:szCs w:val="24"/>
          <w:lang w:val="da-DK" w:eastAsia="da-DK"/>
        </w:rPr>
        <w:t xml:space="preserve">tryk på 10 ton i en Æ10-belastning på 1. </w:t>
      </w:r>
    </w:p>
    <w:p w:rsidR="00397B9A" w:rsidRDefault="00397B9A" w:rsidP="00397B9A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da-DK" w:eastAsia="da-DK"/>
        </w:rPr>
      </w:pPr>
      <w:r w:rsidRPr="00397B9A">
        <w:rPr>
          <w:rFonts w:ascii="Times New Roman" w:eastAsia="Times New Roman" w:hAnsi="Times New Roman" w:cs="Times New Roman"/>
          <w:sz w:val="24"/>
          <w:szCs w:val="24"/>
          <w:lang w:val="da-DK" w:eastAsia="da-DK"/>
        </w:rPr>
        <w:t>I praksis er det dyrt og derfor sjældent, at akseltrykkene måles direkte. Det er derfor hensigtsmæ</w:t>
      </w:r>
      <w:r w:rsidRPr="00397B9A">
        <w:rPr>
          <w:rFonts w:ascii="Times New Roman" w:eastAsia="Times New Roman" w:hAnsi="Times New Roman" w:cs="Times New Roman"/>
          <w:sz w:val="24"/>
          <w:szCs w:val="24"/>
          <w:lang w:val="da-DK" w:eastAsia="da-DK"/>
        </w:rPr>
        <w:t>s</w:t>
      </w:r>
      <w:r w:rsidRPr="00397B9A">
        <w:rPr>
          <w:rFonts w:ascii="Times New Roman" w:eastAsia="Times New Roman" w:hAnsi="Times New Roman" w:cs="Times New Roman"/>
          <w:sz w:val="24"/>
          <w:szCs w:val="24"/>
          <w:lang w:val="da-DK" w:eastAsia="da-DK"/>
        </w:rPr>
        <w:t xml:space="preserve">sigt at kunne omregne tællinger til Æ10-belastning. Den talte trafik kan omregnes til Æ10-belastning ved hjælp af følgende formel, hvor der summeres over de talte </w:t>
      </w:r>
      <w:proofErr w:type="spellStart"/>
      <w:r w:rsidRPr="00397B9A">
        <w:rPr>
          <w:rFonts w:ascii="Times New Roman" w:eastAsia="Times New Roman" w:hAnsi="Times New Roman" w:cs="Times New Roman"/>
          <w:sz w:val="24"/>
          <w:szCs w:val="24"/>
          <w:lang w:val="da-DK" w:eastAsia="da-DK"/>
        </w:rPr>
        <w:t>køretøjsarter</w:t>
      </w:r>
      <w:proofErr w:type="spellEnd"/>
      <w:r w:rsidRPr="00397B9A">
        <w:rPr>
          <w:rFonts w:ascii="Times New Roman" w:eastAsia="Times New Roman" w:hAnsi="Times New Roman" w:cs="Times New Roman"/>
          <w:sz w:val="24"/>
          <w:szCs w:val="24"/>
          <w:lang w:val="da-DK" w:eastAsia="da-DK"/>
        </w:rPr>
        <w:t xml:space="preserve"> eller læn</w:t>
      </w:r>
      <w:r w:rsidRPr="00397B9A">
        <w:rPr>
          <w:rFonts w:ascii="Times New Roman" w:eastAsia="Times New Roman" w:hAnsi="Times New Roman" w:cs="Times New Roman"/>
          <w:sz w:val="24"/>
          <w:szCs w:val="24"/>
          <w:lang w:val="da-DK" w:eastAsia="da-DK"/>
        </w:rPr>
        <w:t>g</w:t>
      </w:r>
      <w:r w:rsidRPr="00397B9A">
        <w:rPr>
          <w:rFonts w:ascii="Times New Roman" w:eastAsia="Times New Roman" w:hAnsi="Times New Roman" w:cs="Times New Roman"/>
          <w:sz w:val="24"/>
          <w:szCs w:val="24"/>
          <w:lang w:val="da-DK" w:eastAsia="da-DK"/>
        </w:rPr>
        <w:t xml:space="preserve">deklasser: </w:t>
      </w:r>
    </w:p>
    <w:p w:rsidR="00397B9A" w:rsidRPr="00397B9A" w:rsidRDefault="00397B9A" w:rsidP="00397B9A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da-DK" w:eastAsia="da-DK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da-DK" w:eastAsia="da-DK"/>
        </w:rPr>
        <w:drawing>
          <wp:inline distT="0" distB="0" distL="0" distR="0">
            <wp:extent cx="2543175" cy="704850"/>
            <wp:effectExtent l="19050" t="19050" r="28575" b="19050"/>
            <wp:docPr id="11" name="Billed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7048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C444C" w:rsidRPr="00AC444C">
        <w:rPr>
          <w:rFonts w:ascii="Times New Roman" w:eastAsia="Times New Roman" w:hAnsi="Times New Roman" w:cs="Times New Roman"/>
          <w:sz w:val="24"/>
          <w:szCs w:val="24"/>
          <w:lang w:val="da-DK" w:eastAsia="da-DK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Formel 11.1" style="width:24pt;height:24pt"/>
        </w:pict>
      </w:r>
    </w:p>
    <w:p w:rsidR="00397B9A" w:rsidRPr="00397B9A" w:rsidRDefault="00397B9A" w:rsidP="00397B9A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da-DK" w:eastAsia="da-DK"/>
        </w:rPr>
      </w:pPr>
      <w:r w:rsidRPr="00397B9A">
        <w:rPr>
          <w:rFonts w:ascii="Times New Roman" w:eastAsia="Times New Roman" w:hAnsi="Times New Roman" w:cs="Times New Roman"/>
          <w:sz w:val="24"/>
          <w:szCs w:val="24"/>
          <w:lang w:val="da-DK" w:eastAsia="da-DK"/>
        </w:rPr>
        <w:t>Tabellerne 11.2 og 11.3 viser de aktuelle omregningsfaktorer (Æ10-faktorer). Da person- og vareb</w:t>
      </w:r>
      <w:r w:rsidRPr="00397B9A">
        <w:rPr>
          <w:rFonts w:ascii="Times New Roman" w:eastAsia="Times New Roman" w:hAnsi="Times New Roman" w:cs="Times New Roman"/>
          <w:sz w:val="24"/>
          <w:szCs w:val="24"/>
          <w:lang w:val="da-DK" w:eastAsia="da-DK"/>
        </w:rPr>
        <w:t>i</w:t>
      </w:r>
      <w:r w:rsidRPr="00397B9A">
        <w:rPr>
          <w:rFonts w:ascii="Times New Roman" w:eastAsia="Times New Roman" w:hAnsi="Times New Roman" w:cs="Times New Roman"/>
          <w:sz w:val="24"/>
          <w:szCs w:val="24"/>
          <w:lang w:val="da-DK" w:eastAsia="da-DK"/>
        </w:rPr>
        <w:t>ler under 3,5 ton totalvægt praktisk talt ikke bidrager til vejsliddet, er det ikke nødvendigt at medt</w:t>
      </w:r>
      <w:r w:rsidRPr="00397B9A">
        <w:rPr>
          <w:rFonts w:ascii="Times New Roman" w:eastAsia="Times New Roman" w:hAnsi="Times New Roman" w:cs="Times New Roman"/>
          <w:sz w:val="24"/>
          <w:szCs w:val="24"/>
          <w:lang w:val="da-DK" w:eastAsia="da-DK"/>
        </w:rPr>
        <w:t>a</w:t>
      </w:r>
      <w:r w:rsidRPr="00397B9A">
        <w:rPr>
          <w:rFonts w:ascii="Times New Roman" w:eastAsia="Times New Roman" w:hAnsi="Times New Roman" w:cs="Times New Roman"/>
          <w:sz w:val="24"/>
          <w:szCs w:val="24"/>
          <w:lang w:val="da-DK" w:eastAsia="da-DK"/>
        </w:rPr>
        <w:t xml:space="preserve">ge disse køretøjer i Æ10-beregningen. </w:t>
      </w:r>
    </w:p>
    <w:p w:rsidR="00397B9A" w:rsidRPr="00397B9A" w:rsidRDefault="00397B9A" w:rsidP="00397B9A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da-DK" w:eastAsia="da-DK"/>
        </w:rPr>
      </w:pPr>
      <w:r w:rsidRPr="00397B9A">
        <w:rPr>
          <w:rFonts w:ascii="Times New Roman" w:eastAsia="Times New Roman" w:hAnsi="Times New Roman" w:cs="Times New Roman"/>
          <w:sz w:val="24"/>
          <w:szCs w:val="24"/>
          <w:lang w:val="da-DK" w:eastAsia="da-DK"/>
        </w:rPr>
        <w:t xml:space="preserve">Da </w:t>
      </w:r>
      <w:proofErr w:type="spellStart"/>
      <w:r w:rsidRPr="00397B9A">
        <w:rPr>
          <w:rFonts w:ascii="Times New Roman" w:eastAsia="Times New Roman" w:hAnsi="Times New Roman" w:cs="Times New Roman"/>
          <w:sz w:val="24"/>
          <w:szCs w:val="24"/>
          <w:lang w:val="da-DK" w:eastAsia="da-DK"/>
        </w:rPr>
        <w:t>køretøjssammensætning</w:t>
      </w:r>
      <w:proofErr w:type="spellEnd"/>
      <w:r w:rsidRPr="00397B9A">
        <w:rPr>
          <w:rFonts w:ascii="Times New Roman" w:eastAsia="Times New Roman" w:hAnsi="Times New Roman" w:cs="Times New Roman"/>
          <w:sz w:val="24"/>
          <w:szCs w:val="24"/>
          <w:lang w:val="da-DK" w:eastAsia="da-DK"/>
        </w:rPr>
        <w:t xml:space="preserve"> og kapacitetsudnyttelse varierer fra sted til sted, vil Æ10-faktorerne også i nogen grad afhænge af stedet. Analyser viser, at især </w:t>
      </w:r>
      <w:proofErr w:type="spellStart"/>
      <w:r w:rsidRPr="00397B9A">
        <w:rPr>
          <w:rFonts w:ascii="Times New Roman" w:eastAsia="Times New Roman" w:hAnsi="Times New Roman" w:cs="Times New Roman"/>
          <w:sz w:val="24"/>
          <w:szCs w:val="24"/>
          <w:lang w:val="da-DK" w:eastAsia="da-DK"/>
        </w:rPr>
        <w:t>bygader</w:t>
      </w:r>
      <w:proofErr w:type="spellEnd"/>
      <w:r w:rsidRPr="00397B9A">
        <w:rPr>
          <w:rFonts w:ascii="Times New Roman" w:eastAsia="Times New Roman" w:hAnsi="Times New Roman" w:cs="Times New Roman"/>
          <w:sz w:val="24"/>
          <w:szCs w:val="24"/>
          <w:lang w:val="da-DK" w:eastAsia="da-DK"/>
        </w:rPr>
        <w:t xml:space="preserve"> uden gennemkørende trafik afviger i forhold til øvrige veje. Æ10-faktorerne er derfor differentieret på henholdsvis </w:t>
      </w:r>
      <w:proofErr w:type="spellStart"/>
      <w:r w:rsidRPr="00397B9A">
        <w:rPr>
          <w:rFonts w:ascii="Times New Roman" w:eastAsia="Times New Roman" w:hAnsi="Times New Roman" w:cs="Times New Roman"/>
          <w:sz w:val="24"/>
          <w:szCs w:val="24"/>
          <w:lang w:val="da-DK" w:eastAsia="da-DK"/>
        </w:rPr>
        <w:t>bygader</w:t>
      </w:r>
      <w:proofErr w:type="spellEnd"/>
      <w:r w:rsidRPr="00397B9A">
        <w:rPr>
          <w:rFonts w:ascii="Times New Roman" w:eastAsia="Times New Roman" w:hAnsi="Times New Roman" w:cs="Times New Roman"/>
          <w:sz w:val="24"/>
          <w:szCs w:val="24"/>
          <w:lang w:val="da-DK" w:eastAsia="da-DK"/>
        </w:rPr>
        <w:t xml:space="preserve"> uden gennemkørende trafik og alle øvrige veje. </w:t>
      </w:r>
    </w:p>
    <w:p w:rsidR="00397B9A" w:rsidRPr="00397B9A" w:rsidRDefault="00397B9A" w:rsidP="00397B9A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da-DK" w:eastAsia="da-DK"/>
        </w:rPr>
      </w:pPr>
      <w:r w:rsidRPr="00397B9A">
        <w:rPr>
          <w:rFonts w:ascii="Times New Roman" w:eastAsia="Times New Roman" w:hAnsi="Times New Roman" w:cs="Times New Roman"/>
          <w:sz w:val="24"/>
          <w:szCs w:val="24"/>
          <w:lang w:val="da-DK" w:eastAsia="da-DK"/>
        </w:rPr>
        <w:t xml:space="preserve">Tabel 11.2 viser Æ10-faktorerne opdelt efter </w:t>
      </w:r>
      <w:proofErr w:type="spellStart"/>
      <w:r w:rsidRPr="00397B9A">
        <w:rPr>
          <w:rFonts w:ascii="Times New Roman" w:eastAsia="Times New Roman" w:hAnsi="Times New Roman" w:cs="Times New Roman"/>
          <w:sz w:val="24"/>
          <w:szCs w:val="24"/>
          <w:lang w:val="da-DK" w:eastAsia="da-DK"/>
        </w:rPr>
        <w:t>køretøjsarterne</w:t>
      </w:r>
      <w:proofErr w:type="spellEnd"/>
      <w:r w:rsidRPr="00397B9A">
        <w:rPr>
          <w:rFonts w:ascii="Times New Roman" w:eastAsia="Times New Roman" w:hAnsi="Times New Roman" w:cs="Times New Roman"/>
          <w:sz w:val="24"/>
          <w:szCs w:val="24"/>
          <w:lang w:val="da-DK" w:eastAsia="da-DK"/>
        </w:rPr>
        <w:t xml:space="preserve"> bus, sololastbil, lastbil med påhæng og </w:t>
      </w:r>
      <w:proofErr w:type="spellStart"/>
      <w:r w:rsidRPr="00397B9A">
        <w:rPr>
          <w:rFonts w:ascii="Times New Roman" w:eastAsia="Times New Roman" w:hAnsi="Times New Roman" w:cs="Times New Roman"/>
          <w:sz w:val="24"/>
          <w:szCs w:val="24"/>
          <w:lang w:val="da-DK" w:eastAsia="da-DK"/>
        </w:rPr>
        <w:t>sættevognstog</w:t>
      </w:r>
      <w:proofErr w:type="spellEnd"/>
      <w:r w:rsidRPr="00397B9A">
        <w:rPr>
          <w:rFonts w:ascii="Times New Roman" w:eastAsia="Times New Roman" w:hAnsi="Times New Roman" w:cs="Times New Roman"/>
          <w:sz w:val="24"/>
          <w:szCs w:val="24"/>
          <w:lang w:val="da-DK" w:eastAsia="da-DK"/>
        </w:rPr>
        <w:t xml:space="preserve"> og kan f.eks. anvendes i forbindelse med manuelle tællinger. Tabel 11.3 viser Æ10-faktorerne opgjort efter køretøjets længde og kan anvendes i forbindelse med længdeklassificerede maskinelle tællinger. Resultatet er dog behæftet med noget større usikkerhed, da personbiler med påhæng (trailer eller campingvogn) og store varebiler bliver registreret sammen med busser og sol</w:t>
      </w:r>
      <w:r w:rsidRPr="00397B9A">
        <w:rPr>
          <w:rFonts w:ascii="Times New Roman" w:eastAsia="Times New Roman" w:hAnsi="Times New Roman" w:cs="Times New Roman"/>
          <w:sz w:val="24"/>
          <w:szCs w:val="24"/>
          <w:lang w:val="da-DK" w:eastAsia="da-DK"/>
        </w:rPr>
        <w:t>o</w:t>
      </w:r>
      <w:r w:rsidRPr="00397B9A">
        <w:rPr>
          <w:rFonts w:ascii="Times New Roman" w:eastAsia="Times New Roman" w:hAnsi="Times New Roman" w:cs="Times New Roman"/>
          <w:sz w:val="24"/>
          <w:szCs w:val="24"/>
          <w:lang w:val="da-DK" w:eastAsia="da-DK"/>
        </w:rPr>
        <w:t xml:space="preserve">lastbiler. Faktorerne er de gældende på tidspunktet for udarbejdelse af denne vejledning men bliver revideret i takt med udviklingen i og udnyttelsen af vognparken. Vejdirektoratet kan oplyse om de nyeste faktorer. </w:t>
      </w:r>
    </w:p>
    <w:p w:rsidR="00397B9A" w:rsidRPr="00397B9A" w:rsidRDefault="00397B9A" w:rsidP="00397B9A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da-DK" w:eastAsia="da-DK"/>
        </w:rPr>
      </w:pPr>
      <w:r w:rsidRPr="00397B9A">
        <w:rPr>
          <w:rFonts w:ascii="Times New Roman" w:eastAsia="Times New Roman" w:hAnsi="Times New Roman" w:cs="Times New Roman"/>
          <w:sz w:val="24"/>
          <w:szCs w:val="24"/>
          <w:lang w:val="da-DK" w:eastAsia="da-DK"/>
        </w:rPr>
        <w:t xml:space="preserve">Det har vist sig, at de såkaldte </w:t>
      </w:r>
      <w:proofErr w:type="spellStart"/>
      <w:r w:rsidRPr="00397B9A">
        <w:rPr>
          <w:rFonts w:ascii="Times New Roman" w:eastAsia="Times New Roman" w:hAnsi="Times New Roman" w:cs="Times New Roman"/>
          <w:sz w:val="24"/>
          <w:szCs w:val="24"/>
          <w:lang w:val="da-DK" w:eastAsia="da-DK"/>
        </w:rPr>
        <w:t>supersingledæk</w:t>
      </w:r>
      <w:proofErr w:type="spellEnd"/>
      <w:r w:rsidRPr="00397B9A">
        <w:rPr>
          <w:rFonts w:ascii="Times New Roman" w:eastAsia="Times New Roman" w:hAnsi="Times New Roman" w:cs="Times New Roman"/>
          <w:sz w:val="24"/>
          <w:szCs w:val="24"/>
          <w:lang w:val="da-DK" w:eastAsia="da-DK"/>
        </w:rPr>
        <w:t xml:space="preserve">, der anvendes på mange af de større vogntog, har en langt større skadeeffekt på vejbefæstelsen end de traditionelle tvillinghjul. Forekomsten af biler </w:t>
      </w:r>
      <w:r w:rsidRPr="00397B9A">
        <w:rPr>
          <w:rFonts w:ascii="Times New Roman" w:eastAsia="Times New Roman" w:hAnsi="Times New Roman" w:cs="Times New Roman"/>
          <w:sz w:val="24"/>
          <w:szCs w:val="24"/>
          <w:lang w:val="da-DK" w:eastAsia="da-DK"/>
        </w:rPr>
        <w:lastRenderedPageBreak/>
        <w:t xml:space="preserve">med </w:t>
      </w:r>
      <w:proofErr w:type="spellStart"/>
      <w:r w:rsidRPr="00397B9A">
        <w:rPr>
          <w:rFonts w:ascii="Times New Roman" w:eastAsia="Times New Roman" w:hAnsi="Times New Roman" w:cs="Times New Roman"/>
          <w:sz w:val="24"/>
          <w:szCs w:val="24"/>
          <w:lang w:val="da-DK" w:eastAsia="da-DK"/>
        </w:rPr>
        <w:t>supersingledæk</w:t>
      </w:r>
      <w:proofErr w:type="spellEnd"/>
      <w:r w:rsidRPr="00397B9A">
        <w:rPr>
          <w:rFonts w:ascii="Times New Roman" w:eastAsia="Times New Roman" w:hAnsi="Times New Roman" w:cs="Times New Roman"/>
          <w:sz w:val="24"/>
          <w:szCs w:val="24"/>
          <w:lang w:val="da-DK" w:eastAsia="da-DK"/>
        </w:rPr>
        <w:t xml:space="preserve"> er typisk størst på de overordnede veje. Korrektionen af Æ10-belastningen for supersingleeffekten sker ved hjælp af formlen: </w:t>
      </w:r>
    </w:p>
    <w:p w:rsidR="00397B9A" w:rsidRPr="00397B9A" w:rsidRDefault="00397B9A" w:rsidP="00397B9A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da-DK" w:eastAsia="da-DK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da-DK" w:eastAsia="da-DK"/>
        </w:rPr>
        <w:drawing>
          <wp:inline distT="0" distB="0" distL="0" distR="0">
            <wp:extent cx="2343150" cy="523875"/>
            <wp:effectExtent l="19050" t="19050" r="19050" b="28575"/>
            <wp:docPr id="15" name="Billed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5238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7B9A" w:rsidRPr="00397B9A" w:rsidRDefault="00397B9A" w:rsidP="00397B9A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da-DK" w:eastAsia="da-DK"/>
        </w:rPr>
      </w:pPr>
      <w:r w:rsidRPr="00397B9A">
        <w:rPr>
          <w:rFonts w:ascii="Times New Roman" w:eastAsia="Times New Roman" w:hAnsi="Times New Roman" w:cs="Times New Roman"/>
          <w:sz w:val="24"/>
          <w:szCs w:val="24"/>
          <w:lang w:val="da-DK" w:eastAsia="da-DK"/>
        </w:rPr>
        <w:t>Tabel 11.4 viser korrektionsfaktoren Æ10ss opdelt på motorvej, øvrige hovedlandeveje og landev</w:t>
      </w:r>
      <w:r w:rsidRPr="00397B9A">
        <w:rPr>
          <w:rFonts w:ascii="Times New Roman" w:eastAsia="Times New Roman" w:hAnsi="Times New Roman" w:cs="Times New Roman"/>
          <w:sz w:val="24"/>
          <w:szCs w:val="24"/>
          <w:lang w:val="da-DK" w:eastAsia="da-DK"/>
        </w:rPr>
        <w:t>e</w:t>
      </w:r>
      <w:r w:rsidRPr="00397B9A">
        <w:rPr>
          <w:rFonts w:ascii="Times New Roman" w:eastAsia="Times New Roman" w:hAnsi="Times New Roman" w:cs="Times New Roman"/>
          <w:sz w:val="24"/>
          <w:szCs w:val="24"/>
          <w:lang w:val="da-DK" w:eastAsia="da-DK"/>
        </w:rPr>
        <w:t xml:space="preserve">je samt kommuneveje. På kommuneveje bør den øvre grænse anvendes for de større kommunale trafikveje, mens den nedre grænse bør benyttes for de øvrige kommuneveje. </w:t>
      </w:r>
    </w:p>
    <w:p w:rsidR="00397B9A" w:rsidRPr="00397B9A" w:rsidRDefault="00397B9A" w:rsidP="00397B9A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da-DK" w:eastAsia="da-DK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da-DK" w:eastAsia="da-DK"/>
        </w:rPr>
        <w:drawing>
          <wp:inline distT="0" distB="0" distL="0" distR="0">
            <wp:extent cx="5124450" cy="1257300"/>
            <wp:effectExtent l="19050" t="0" r="0" b="0"/>
            <wp:docPr id="19" name="Billed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7B9A" w:rsidRPr="00397B9A" w:rsidRDefault="00397B9A" w:rsidP="00397B9A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da-DK" w:eastAsia="da-DK"/>
        </w:rPr>
      </w:pPr>
      <w:r w:rsidRPr="00397B9A">
        <w:rPr>
          <w:rFonts w:ascii="Times New Roman" w:eastAsia="Times New Roman" w:hAnsi="Times New Roman" w:cs="Times New Roman"/>
          <w:i/>
          <w:iCs/>
          <w:sz w:val="24"/>
          <w:szCs w:val="24"/>
          <w:lang w:val="da-DK" w:eastAsia="da-DK"/>
        </w:rPr>
        <w:t>Tabel 11.2. Faktorer til beregning af Æ10-belastning opdelt efter køretøjsart.</w:t>
      </w:r>
      <w:r w:rsidRPr="00397B9A">
        <w:rPr>
          <w:rFonts w:ascii="Times New Roman" w:eastAsia="Times New Roman" w:hAnsi="Times New Roman" w:cs="Times New Roman"/>
          <w:sz w:val="24"/>
          <w:szCs w:val="24"/>
          <w:lang w:val="da-DK" w:eastAsia="da-DK"/>
        </w:rPr>
        <w:t xml:space="preserve"> </w:t>
      </w:r>
    </w:p>
    <w:p w:rsidR="00397B9A" w:rsidRPr="00397B9A" w:rsidRDefault="00397B9A" w:rsidP="00397B9A">
      <w:pPr>
        <w:spacing w:before="100" w:beforeAutospacing="1" w:after="100" w:afterAutospacing="1"/>
        <w:outlineLvl w:val="5"/>
        <w:rPr>
          <w:rFonts w:ascii="Times New Roman" w:eastAsia="Times New Roman" w:hAnsi="Times New Roman" w:cs="Times New Roman"/>
          <w:b/>
          <w:bCs/>
          <w:sz w:val="15"/>
          <w:szCs w:val="15"/>
          <w:lang w:val="da-DK" w:eastAsia="da-DK"/>
        </w:rPr>
      </w:pPr>
      <w:r w:rsidRPr="00397B9A">
        <w:rPr>
          <w:rFonts w:ascii="Times New Roman" w:eastAsia="Times New Roman" w:hAnsi="Times New Roman" w:cs="Times New Roman"/>
          <w:b/>
          <w:bCs/>
          <w:sz w:val="15"/>
          <w:szCs w:val="15"/>
          <w:lang w:val="da-DK" w:eastAsia="da-DK"/>
        </w:rPr>
        <w:t> </w:t>
      </w:r>
      <w:r>
        <w:rPr>
          <w:rFonts w:ascii="Times New Roman" w:eastAsia="Times New Roman" w:hAnsi="Times New Roman" w:cs="Times New Roman"/>
          <w:b/>
          <w:bCs/>
          <w:noProof/>
          <w:sz w:val="15"/>
          <w:szCs w:val="15"/>
          <w:lang w:val="da-DK" w:eastAsia="da-DK"/>
        </w:rPr>
        <w:drawing>
          <wp:inline distT="0" distB="0" distL="0" distR="0">
            <wp:extent cx="5124450" cy="1057275"/>
            <wp:effectExtent l="19050" t="0" r="0" b="0"/>
            <wp:docPr id="22" name="Billed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7B9A" w:rsidRDefault="00397B9A" w:rsidP="00397B9A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da-DK" w:eastAsia="da-DK"/>
        </w:rPr>
      </w:pPr>
      <w:r w:rsidRPr="00397B9A">
        <w:rPr>
          <w:rFonts w:ascii="Times New Roman" w:eastAsia="Times New Roman" w:hAnsi="Times New Roman" w:cs="Times New Roman"/>
          <w:i/>
          <w:iCs/>
          <w:sz w:val="24"/>
          <w:szCs w:val="24"/>
          <w:lang w:val="da-DK" w:eastAsia="da-DK"/>
        </w:rPr>
        <w:t xml:space="preserve">Tabel 11.3. Faktorer til beregning af Æ10-belastning opdelt efter </w:t>
      </w:r>
      <w:proofErr w:type="spellStart"/>
      <w:r w:rsidRPr="00397B9A">
        <w:rPr>
          <w:rFonts w:ascii="Times New Roman" w:eastAsia="Times New Roman" w:hAnsi="Times New Roman" w:cs="Times New Roman"/>
          <w:i/>
          <w:iCs/>
          <w:sz w:val="24"/>
          <w:szCs w:val="24"/>
          <w:lang w:val="da-DK" w:eastAsia="da-DK"/>
        </w:rPr>
        <w:t>køretøjslængde</w:t>
      </w:r>
      <w:proofErr w:type="spellEnd"/>
      <w:r w:rsidRPr="00397B9A">
        <w:rPr>
          <w:rFonts w:ascii="Times New Roman" w:eastAsia="Times New Roman" w:hAnsi="Times New Roman" w:cs="Times New Roman"/>
          <w:i/>
          <w:iCs/>
          <w:sz w:val="24"/>
          <w:szCs w:val="24"/>
          <w:lang w:val="da-DK" w:eastAsia="da-DK"/>
        </w:rPr>
        <w:t>.</w:t>
      </w:r>
      <w:r w:rsidRPr="00397B9A">
        <w:rPr>
          <w:rFonts w:ascii="Times New Roman" w:eastAsia="Times New Roman" w:hAnsi="Times New Roman" w:cs="Times New Roman"/>
          <w:sz w:val="24"/>
          <w:szCs w:val="24"/>
          <w:lang w:val="da-DK" w:eastAsia="da-DK"/>
        </w:rPr>
        <w:t xml:space="preserve"> </w:t>
      </w:r>
    </w:p>
    <w:p w:rsidR="00397B9A" w:rsidRPr="00397B9A" w:rsidRDefault="00397B9A" w:rsidP="00397B9A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da-DK" w:eastAsia="da-DK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da-DK" w:eastAsia="da-DK"/>
        </w:rPr>
        <w:drawing>
          <wp:inline distT="0" distB="0" distL="0" distR="0">
            <wp:extent cx="5114925" cy="847725"/>
            <wp:effectExtent l="19050" t="0" r="9525" b="0"/>
            <wp:docPr id="26" name="Billed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7B9A" w:rsidRPr="00397B9A" w:rsidRDefault="00397B9A" w:rsidP="00397B9A">
      <w:pPr>
        <w:spacing w:before="100" w:beforeAutospacing="1" w:after="100" w:afterAutospacing="1"/>
        <w:outlineLvl w:val="5"/>
        <w:rPr>
          <w:rFonts w:ascii="Times New Roman" w:eastAsia="Times New Roman" w:hAnsi="Times New Roman" w:cs="Times New Roman"/>
          <w:sz w:val="24"/>
          <w:szCs w:val="24"/>
          <w:lang w:val="da-DK" w:eastAsia="da-DK"/>
        </w:rPr>
      </w:pPr>
      <w:r w:rsidRPr="00397B9A">
        <w:rPr>
          <w:rFonts w:ascii="Times New Roman" w:eastAsia="Times New Roman" w:hAnsi="Times New Roman" w:cs="Times New Roman"/>
          <w:b/>
          <w:bCs/>
          <w:sz w:val="15"/>
          <w:szCs w:val="15"/>
          <w:lang w:val="da-DK" w:eastAsia="da-DK"/>
        </w:rPr>
        <w:t> </w:t>
      </w:r>
      <w:r w:rsidRPr="00397B9A">
        <w:rPr>
          <w:rFonts w:ascii="Times New Roman" w:eastAsia="Times New Roman" w:hAnsi="Times New Roman" w:cs="Times New Roman"/>
          <w:i/>
          <w:iCs/>
          <w:sz w:val="24"/>
          <w:szCs w:val="24"/>
          <w:lang w:val="da-DK" w:eastAsia="da-DK"/>
        </w:rPr>
        <w:t xml:space="preserve">Tabel 11.4. Faktorer til korrektion af Æ10-belastning for </w:t>
      </w:r>
      <w:proofErr w:type="spellStart"/>
      <w:r w:rsidRPr="00397B9A">
        <w:rPr>
          <w:rFonts w:ascii="Times New Roman" w:eastAsia="Times New Roman" w:hAnsi="Times New Roman" w:cs="Times New Roman"/>
          <w:i/>
          <w:iCs/>
          <w:sz w:val="24"/>
          <w:szCs w:val="24"/>
          <w:lang w:val="da-DK" w:eastAsia="da-DK"/>
        </w:rPr>
        <w:t>supersingledæk</w:t>
      </w:r>
      <w:proofErr w:type="spellEnd"/>
      <w:r w:rsidRPr="00397B9A">
        <w:rPr>
          <w:rFonts w:ascii="Times New Roman" w:eastAsia="Times New Roman" w:hAnsi="Times New Roman" w:cs="Times New Roman"/>
          <w:i/>
          <w:iCs/>
          <w:sz w:val="24"/>
          <w:szCs w:val="24"/>
          <w:lang w:val="da-DK" w:eastAsia="da-DK"/>
        </w:rPr>
        <w:t>.</w:t>
      </w:r>
      <w:r w:rsidRPr="00397B9A">
        <w:rPr>
          <w:rFonts w:ascii="Times New Roman" w:eastAsia="Times New Roman" w:hAnsi="Times New Roman" w:cs="Times New Roman"/>
          <w:sz w:val="24"/>
          <w:szCs w:val="24"/>
          <w:lang w:val="da-DK" w:eastAsia="da-DK"/>
        </w:rPr>
        <w:t xml:space="preserve"> </w:t>
      </w:r>
    </w:p>
    <w:p w:rsidR="00612CCA" w:rsidRDefault="00612CCA">
      <w:pPr>
        <w:rPr>
          <w:lang w:val="da-DK"/>
        </w:rPr>
      </w:pPr>
    </w:p>
    <w:p w:rsidR="00397B9A" w:rsidRDefault="00397B9A" w:rsidP="00397B9A">
      <w:pPr>
        <w:ind w:left="1304" w:hanging="1304"/>
        <w:rPr>
          <w:lang w:val="da-DK"/>
        </w:rPr>
      </w:pPr>
    </w:p>
    <w:p w:rsidR="00397B9A" w:rsidRDefault="00397B9A" w:rsidP="00397B9A">
      <w:pPr>
        <w:ind w:left="1304" w:hanging="1304"/>
        <w:rPr>
          <w:lang w:val="da-DK"/>
        </w:rPr>
      </w:pPr>
      <w:r>
        <w:rPr>
          <w:lang w:val="da-DK"/>
        </w:rPr>
        <w:t xml:space="preserve">KILDE: </w:t>
      </w:r>
      <w:r>
        <w:rPr>
          <w:lang w:val="da-DK"/>
        </w:rPr>
        <w:tab/>
      </w:r>
      <w:r w:rsidRPr="00397B9A">
        <w:rPr>
          <w:lang w:val="da-DK"/>
        </w:rPr>
        <w:t xml:space="preserve">Denne </w:t>
      </w:r>
      <w:r>
        <w:rPr>
          <w:lang w:val="da-DK"/>
        </w:rPr>
        <w:t>tekst er</w:t>
      </w:r>
      <w:r w:rsidRPr="00397B9A">
        <w:rPr>
          <w:lang w:val="da-DK"/>
        </w:rPr>
        <w:t xml:space="preserve"> kapitel 1</w:t>
      </w:r>
      <w:r>
        <w:rPr>
          <w:lang w:val="da-DK"/>
        </w:rPr>
        <w:t>1</w:t>
      </w:r>
      <w:r w:rsidRPr="00397B9A">
        <w:rPr>
          <w:lang w:val="da-DK"/>
        </w:rPr>
        <w:t xml:space="preserve"> </w:t>
      </w:r>
      <w:r>
        <w:rPr>
          <w:lang w:val="da-DK"/>
        </w:rPr>
        <w:t>afsnit 2 i</w:t>
      </w:r>
      <w:r w:rsidRPr="00397B9A">
        <w:rPr>
          <w:lang w:val="da-DK"/>
        </w:rPr>
        <w:t xml:space="preserve"> </w:t>
      </w:r>
      <w:r>
        <w:rPr>
          <w:lang w:val="da-DK"/>
        </w:rPr>
        <w:t xml:space="preserve">Vejdirektoratets </w:t>
      </w:r>
      <w:proofErr w:type="gramStart"/>
      <w:r w:rsidRPr="00397B9A">
        <w:rPr>
          <w:lang w:val="da-DK"/>
        </w:rPr>
        <w:t>publikationen</w:t>
      </w:r>
      <w:proofErr w:type="gramEnd"/>
      <w:r w:rsidRPr="00397B9A">
        <w:rPr>
          <w:lang w:val="da-DK"/>
        </w:rPr>
        <w:t xml:space="preserve"> "Trafiktællinger".</w:t>
      </w:r>
      <w:r>
        <w:rPr>
          <w:lang w:val="da-DK"/>
        </w:rPr>
        <w:t xml:space="preserve"> </w:t>
      </w:r>
      <w:r w:rsidRPr="00397B9A">
        <w:rPr>
          <w:lang w:val="da-DK"/>
        </w:rPr>
        <w:t>Publi</w:t>
      </w:r>
      <w:r>
        <w:rPr>
          <w:lang w:val="da-DK"/>
        </w:rPr>
        <w:t>k</w:t>
      </w:r>
      <w:r>
        <w:rPr>
          <w:lang w:val="da-DK"/>
        </w:rPr>
        <w:t>a</w:t>
      </w:r>
      <w:r>
        <w:rPr>
          <w:lang w:val="da-DK"/>
        </w:rPr>
        <w:t xml:space="preserve">tionen kan findes på adressen: </w:t>
      </w:r>
      <w:hyperlink r:id="rId9" w:history="1">
        <w:r w:rsidRPr="00D31802">
          <w:rPr>
            <w:rStyle w:val="Hyperlink"/>
            <w:lang w:val="da-DK"/>
          </w:rPr>
          <w:t>http://www.vejdirektoratet.dk/publikationer/VDrap315/html/toc.htm</w:t>
        </w:r>
      </w:hyperlink>
    </w:p>
    <w:p w:rsidR="00397B9A" w:rsidRDefault="00397B9A" w:rsidP="00397B9A">
      <w:pPr>
        <w:ind w:left="1304" w:hanging="1304"/>
        <w:rPr>
          <w:lang w:val="da-DK"/>
        </w:rPr>
      </w:pPr>
    </w:p>
    <w:p w:rsidR="00397B9A" w:rsidRPr="00397B9A" w:rsidRDefault="00397B9A" w:rsidP="00397B9A">
      <w:pPr>
        <w:ind w:left="1304" w:hanging="1304"/>
        <w:rPr>
          <w:lang w:val="da-DK"/>
        </w:rPr>
      </w:pPr>
    </w:p>
    <w:sectPr w:rsidR="00397B9A" w:rsidRPr="00397B9A" w:rsidSect="00612CCA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304"/>
  <w:autoHyphenation/>
  <w:hyphenationZone w:val="425"/>
  <w:characterSpacingControl w:val="doNotCompress"/>
  <w:compat/>
  <w:rsids>
    <w:rsidRoot w:val="00397B9A"/>
    <w:rsid w:val="001D65DB"/>
    <w:rsid w:val="00397B9A"/>
    <w:rsid w:val="00612CCA"/>
    <w:rsid w:val="00AC444C"/>
    <w:rsid w:val="00C204E7"/>
    <w:rsid w:val="00C67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2CCA"/>
    <w:rPr>
      <w:lang w:val="en-GB"/>
    </w:rPr>
  </w:style>
  <w:style w:type="paragraph" w:styleId="Overskrift3">
    <w:name w:val="heading 3"/>
    <w:basedOn w:val="Normal"/>
    <w:link w:val="Overskrift3Tegn"/>
    <w:uiPriority w:val="9"/>
    <w:qFormat/>
    <w:rsid w:val="00397B9A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da-DK" w:eastAsia="da-DK"/>
    </w:rPr>
  </w:style>
  <w:style w:type="paragraph" w:styleId="Overskrift6">
    <w:name w:val="heading 6"/>
    <w:basedOn w:val="Normal"/>
    <w:link w:val="Overskrift6Tegn"/>
    <w:uiPriority w:val="9"/>
    <w:qFormat/>
    <w:rsid w:val="00397B9A"/>
    <w:pPr>
      <w:spacing w:before="100" w:beforeAutospacing="1" w:after="100" w:afterAutospacing="1"/>
      <w:outlineLvl w:val="5"/>
    </w:pPr>
    <w:rPr>
      <w:rFonts w:ascii="Times New Roman" w:eastAsia="Times New Roman" w:hAnsi="Times New Roman" w:cs="Times New Roman"/>
      <w:b/>
      <w:bCs/>
      <w:sz w:val="15"/>
      <w:szCs w:val="15"/>
      <w:lang w:val="da-DK"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3Tegn">
    <w:name w:val="Overskrift 3 Tegn"/>
    <w:basedOn w:val="Standardskrifttypeiafsnit"/>
    <w:link w:val="Overskrift3"/>
    <w:uiPriority w:val="9"/>
    <w:rsid w:val="00397B9A"/>
    <w:rPr>
      <w:rFonts w:ascii="Times New Roman" w:eastAsia="Times New Roman" w:hAnsi="Times New Roman" w:cs="Times New Roman"/>
      <w:b/>
      <w:bCs/>
      <w:sz w:val="27"/>
      <w:szCs w:val="27"/>
      <w:lang w:eastAsia="da-DK"/>
    </w:rPr>
  </w:style>
  <w:style w:type="character" w:customStyle="1" w:styleId="Overskrift6Tegn">
    <w:name w:val="Overskrift 6 Tegn"/>
    <w:basedOn w:val="Standardskrifttypeiafsnit"/>
    <w:link w:val="Overskrift6"/>
    <w:uiPriority w:val="9"/>
    <w:rsid w:val="00397B9A"/>
    <w:rPr>
      <w:rFonts w:ascii="Times New Roman" w:eastAsia="Times New Roman" w:hAnsi="Times New Roman" w:cs="Times New Roman"/>
      <w:b/>
      <w:bCs/>
      <w:sz w:val="15"/>
      <w:szCs w:val="15"/>
      <w:lang w:eastAsia="da-DK"/>
    </w:rPr>
  </w:style>
  <w:style w:type="paragraph" w:styleId="NormalWeb">
    <w:name w:val="Normal (Web)"/>
    <w:basedOn w:val="Normal"/>
    <w:uiPriority w:val="99"/>
    <w:semiHidden/>
    <w:unhideWhenUsed/>
    <w:rsid w:val="00397B9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da-DK" w:eastAsia="da-DK"/>
    </w:rPr>
  </w:style>
  <w:style w:type="character" w:styleId="Fremhv">
    <w:name w:val="Emphasis"/>
    <w:basedOn w:val="Standardskrifttypeiafsnit"/>
    <w:uiPriority w:val="20"/>
    <w:qFormat/>
    <w:rsid w:val="00397B9A"/>
    <w:rPr>
      <w:i/>
      <w:iCs/>
    </w:rPr>
  </w:style>
  <w:style w:type="paragraph" w:styleId="Titel">
    <w:name w:val="Title"/>
    <w:basedOn w:val="Normal"/>
    <w:next w:val="Normal"/>
    <w:link w:val="TitelTegn"/>
    <w:uiPriority w:val="10"/>
    <w:qFormat/>
    <w:rsid w:val="00397B9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397B9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397B9A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397B9A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Standardskrifttypeiafsnit"/>
    <w:uiPriority w:val="99"/>
    <w:unhideWhenUsed/>
    <w:rsid w:val="00397B9A"/>
    <w:rPr>
      <w:color w:val="0000FF" w:themeColor="hyperlink"/>
      <w:u w:val="single"/>
    </w:rPr>
  </w:style>
  <w:style w:type="character" w:styleId="BesgtHyperlink">
    <w:name w:val="FollowedHyperlink"/>
    <w:basedOn w:val="Standardskrifttypeiafsnit"/>
    <w:uiPriority w:val="99"/>
    <w:semiHidden/>
    <w:unhideWhenUsed/>
    <w:rsid w:val="00397B9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922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://www.vejdirektoratet.dk/publikationer/VDrap315/html/toc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504</Words>
  <Characters>3183</Characters>
  <Application>Microsoft Office Word</Application>
  <DocSecurity>0</DocSecurity>
  <Lines>53</Lines>
  <Paragraphs>15</Paragraphs>
  <ScaleCrop>false</ScaleCrop>
  <Company> </Company>
  <LinksUpToDate>false</LinksUpToDate>
  <CharactersWithSpaces>3672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 Kjems</dc:creator>
  <cp:keywords/>
  <dc:description/>
  <cp:lastModifiedBy>Erik Kjems</cp:lastModifiedBy>
  <cp:revision>2</cp:revision>
  <dcterms:created xsi:type="dcterms:W3CDTF">2007-09-30T15:14:00Z</dcterms:created>
  <dcterms:modified xsi:type="dcterms:W3CDTF">2007-09-30T15:25:00Z</dcterms:modified>
</cp:coreProperties>
</file>